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C2E22" w14:textId="77777777" w:rsidR="00303D39" w:rsidRDefault="00303D39">
      <w:pPr>
        <w:pStyle w:val="BodyText"/>
        <w:ind w:left="0"/>
        <w:rPr>
          <w:rFonts w:ascii="Times New Roman"/>
          <w:sz w:val="20"/>
        </w:rPr>
      </w:pPr>
    </w:p>
    <w:p w14:paraId="1302975F" w14:textId="77777777" w:rsidR="00303D39" w:rsidRDefault="00303D39">
      <w:pPr>
        <w:pStyle w:val="BodyText"/>
        <w:spacing w:before="18"/>
        <w:ind w:left="0"/>
        <w:rPr>
          <w:rFonts w:ascii="Times New Roman"/>
          <w:sz w:val="20"/>
        </w:rPr>
      </w:pPr>
    </w:p>
    <w:p w14:paraId="6575DE81" w14:textId="77777777" w:rsidR="00303D39" w:rsidRDefault="00000000">
      <w:pPr>
        <w:pStyle w:val="BodyText"/>
        <w:ind w:left="84"/>
        <w:rPr>
          <w:rFonts w:ascii="Times New Roman"/>
          <w:sz w:val="20"/>
        </w:rPr>
      </w:pPr>
      <w:r>
        <w:rPr>
          <w:rFonts w:ascii="Times New Roman"/>
          <w:noProof/>
          <w:sz w:val="20"/>
        </w:rPr>
        <mc:AlternateContent>
          <mc:Choice Requires="wps">
            <w:drawing>
              <wp:inline distT="0" distB="0" distL="0" distR="0" wp14:anchorId="11A9C8BF" wp14:editId="39870581">
                <wp:extent cx="6134100" cy="389890"/>
                <wp:effectExtent l="19050" t="9525" r="9525" b="19685"/>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4100" cy="389890"/>
                        </a:xfrm>
                        <a:prstGeom prst="rect">
                          <a:avLst/>
                        </a:prstGeom>
                        <a:ln w="28193">
                          <a:solidFill>
                            <a:srgbClr val="2C4079"/>
                          </a:solidFill>
                          <a:prstDash val="solid"/>
                        </a:ln>
                      </wps:spPr>
                      <wps:txbx>
                        <w:txbxContent>
                          <w:p w14:paraId="4EF669DE" w14:textId="77777777" w:rsidR="00303D39" w:rsidRDefault="00000000">
                            <w:pPr>
                              <w:pStyle w:val="BodyText"/>
                              <w:spacing w:before="18" w:line="265" w:lineRule="exact"/>
                              <w:ind w:left="30"/>
                            </w:pPr>
                            <w:bookmarkStart w:id="0" w:name="Note:_Hardcopy_to_be_maintained_on_bridg"/>
                            <w:bookmarkEnd w:id="0"/>
                            <w:r>
                              <w:rPr>
                                <w:color w:val="2C4079"/>
                                <w:spacing w:val="-2"/>
                              </w:rPr>
                              <w:t>Note:</w:t>
                            </w:r>
                          </w:p>
                          <w:p w14:paraId="5E4846B5" w14:textId="77777777" w:rsidR="00303D39" w:rsidRDefault="00000000">
                            <w:pPr>
                              <w:pStyle w:val="BodyText"/>
                              <w:ind w:left="30"/>
                            </w:pPr>
                            <w:r>
                              <w:rPr>
                                <w:color w:val="2C4079"/>
                              </w:rPr>
                              <w:t>Hardcopy</w:t>
                            </w:r>
                            <w:r>
                              <w:rPr>
                                <w:color w:val="2C4079"/>
                                <w:spacing w:val="-7"/>
                              </w:rPr>
                              <w:t xml:space="preserve"> </w:t>
                            </w:r>
                            <w:r>
                              <w:rPr>
                                <w:color w:val="2C4079"/>
                              </w:rPr>
                              <w:t>to</w:t>
                            </w:r>
                            <w:r>
                              <w:rPr>
                                <w:color w:val="2C4079"/>
                                <w:spacing w:val="-7"/>
                              </w:rPr>
                              <w:t xml:space="preserve"> </w:t>
                            </w:r>
                            <w:r>
                              <w:rPr>
                                <w:color w:val="2C4079"/>
                              </w:rPr>
                              <w:t>be</w:t>
                            </w:r>
                            <w:r>
                              <w:rPr>
                                <w:color w:val="2C4079"/>
                                <w:spacing w:val="-7"/>
                              </w:rPr>
                              <w:t xml:space="preserve"> </w:t>
                            </w:r>
                            <w:r>
                              <w:rPr>
                                <w:color w:val="2C4079"/>
                              </w:rPr>
                              <w:t>maintained</w:t>
                            </w:r>
                            <w:r>
                              <w:rPr>
                                <w:color w:val="2C4079"/>
                                <w:spacing w:val="-7"/>
                              </w:rPr>
                              <w:t xml:space="preserve"> </w:t>
                            </w:r>
                            <w:r>
                              <w:rPr>
                                <w:color w:val="2C4079"/>
                              </w:rPr>
                              <w:t>on</w:t>
                            </w:r>
                            <w:r>
                              <w:rPr>
                                <w:color w:val="2C4079"/>
                                <w:spacing w:val="-6"/>
                              </w:rPr>
                              <w:t xml:space="preserve"> </w:t>
                            </w:r>
                            <w:r>
                              <w:rPr>
                                <w:color w:val="2C4079"/>
                                <w:spacing w:val="-2"/>
                              </w:rPr>
                              <w:t>bridge.</w:t>
                            </w:r>
                          </w:p>
                        </w:txbxContent>
                      </wps:txbx>
                      <wps:bodyPr wrap="square" lIns="0" tIns="0" rIns="0" bIns="0" rtlCol="0">
                        <a:noAutofit/>
                      </wps:bodyPr>
                    </wps:wsp>
                  </a:graphicData>
                </a:graphic>
              </wp:inline>
            </w:drawing>
          </mc:Choice>
          <mc:Fallback>
            <w:pict>
              <v:shapetype w14:anchorId="11A9C8BF" id="_x0000_t202" coordsize="21600,21600" o:spt="202" path="m,l,21600r21600,l21600,xe">
                <v:stroke joinstyle="miter"/>
                <v:path gradientshapeok="t" o:connecttype="rect"/>
              </v:shapetype>
              <v:shape id="Textbox 1" o:spid="_x0000_s1026" type="#_x0000_t202" style="width:483pt;height:3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" filled="f" strokecolor="#2c4079" strokeweight=".78314mm">
                <v:path arrowok="t"/>
                <v:textbox inset="0,0,0,0">
                  <w:txbxContent>
                    <w:p w14:paraId="4EF669DE" w14:textId="77777777" w:rsidR="00303D39" w:rsidRDefault="00000000">
                      <w:pPr>
                        <w:pStyle w:val="BodyText"/>
                        <w:spacing w:before="18" w:line="265" w:lineRule="exact"/>
                        <w:ind w:left="30"/>
                      </w:pPr>
                      <w:bookmarkStart w:id="1" w:name="Note:_Hardcopy_to_be_maintained_on_bridg"/>
                      <w:bookmarkEnd w:id="1"/>
                      <w:r>
                        <w:rPr>
                          <w:color w:val="2C4079"/>
                          <w:spacing w:val="-2"/>
                        </w:rPr>
                        <w:t>Note:</w:t>
                      </w:r>
                    </w:p>
                    <w:p w14:paraId="5E4846B5" w14:textId="77777777" w:rsidR="00303D39" w:rsidRDefault="00000000">
                      <w:pPr>
                        <w:pStyle w:val="BodyText"/>
                        <w:ind w:left="30"/>
                      </w:pPr>
                      <w:r>
                        <w:rPr>
                          <w:color w:val="2C4079"/>
                        </w:rPr>
                        <w:t>Hardcopy</w:t>
                      </w:r>
                      <w:r>
                        <w:rPr>
                          <w:color w:val="2C4079"/>
                          <w:spacing w:val="-7"/>
                        </w:rPr>
                        <w:t xml:space="preserve"> </w:t>
                      </w:r>
                      <w:r>
                        <w:rPr>
                          <w:color w:val="2C4079"/>
                        </w:rPr>
                        <w:t>to</w:t>
                      </w:r>
                      <w:r>
                        <w:rPr>
                          <w:color w:val="2C4079"/>
                          <w:spacing w:val="-7"/>
                        </w:rPr>
                        <w:t xml:space="preserve"> </w:t>
                      </w:r>
                      <w:r>
                        <w:rPr>
                          <w:color w:val="2C4079"/>
                        </w:rPr>
                        <w:t>be</w:t>
                      </w:r>
                      <w:r>
                        <w:rPr>
                          <w:color w:val="2C4079"/>
                          <w:spacing w:val="-7"/>
                        </w:rPr>
                        <w:t xml:space="preserve"> </w:t>
                      </w:r>
                      <w:r>
                        <w:rPr>
                          <w:color w:val="2C4079"/>
                        </w:rPr>
                        <w:t>maintained</w:t>
                      </w:r>
                      <w:r>
                        <w:rPr>
                          <w:color w:val="2C4079"/>
                          <w:spacing w:val="-7"/>
                        </w:rPr>
                        <w:t xml:space="preserve"> </w:t>
                      </w:r>
                      <w:r>
                        <w:rPr>
                          <w:color w:val="2C4079"/>
                        </w:rPr>
                        <w:t>on</w:t>
                      </w:r>
                      <w:r>
                        <w:rPr>
                          <w:color w:val="2C4079"/>
                          <w:spacing w:val="-6"/>
                        </w:rPr>
                        <w:t xml:space="preserve"> </w:t>
                      </w:r>
                      <w:r>
                        <w:rPr>
                          <w:color w:val="2C4079"/>
                          <w:spacing w:val="-2"/>
                        </w:rPr>
                        <w:t>bridge.</w:t>
                      </w:r>
                    </w:p>
                  </w:txbxContent>
                </v:textbox>
                <w10:anchorlock/>
              </v:shape>
            </w:pict>
          </mc:Fallback>
        </mc:AlternateContent>
      </w:r>
    </w:p>
    <w:p w14:paraId="75E5EBE4" w14:textId="77777777" w:rsidR="00303D39" w:rsidRDefault="00000000">
      <w:pPr>
        <w:pStyle w:val="Heading1"/>
        <w:numPr>
          <w:ilvl w:val="0"/>
          <w:numId w:val="1"/>
        </w:numPr>
        <w:tabs>
          <w:tab w:val="left" w:pos="592"/>
          <w:tab w:val="left" w:pos="9793"/>
        </w:tabs>
        <w:ind w:hanging="432"/>
      </w:pPr>
      <w:bookmarkStart w:id="2" w:name="1_Types_of_contingency_plans"/>
      <w:bookmarkEnd w:id="2"/>
      <w:r>
        <w:rPr>
          <w:smallCaps/>
          <w:color w:val="FFFFFF"/>
          <w:shd w:val="clear" w:color="auto" w:fill="2C4079"/>
        </w:rPr>
        <w:t>Types</w:t>
      </w:r>
      <w:r>
        <w:rPr>
          <w:smallCaps/>
          <w:color w:val="FFFFFF"/>
          <w:spacing w:val="-14"/>
          <w:shd w:val="clear" w:color="auto" w:fill="2C4079"/>
        </w:rPr>
        <w:t xml:space="preserve"> </w:t>
      </w:r>
      <w:r>
        <w:rPr>
          <w:smallCaps/>
          <w:color w:val="FFFFFF"/>
          <w:shd w:val="clear" w:color="auto" w:fill="2C4079"/>
        </w:rPr>
        <w:t>of</w:t>
      </w:r>
      <w:r>
        <w:rPr>
          <w:smallCaps/>
          <w:color w:val="FFFFFF"/>
          <w:spacing w:val="-13"/>
          <w:shd w:val="clear" w:color="auto" w:fill="2C4079"/>
        </w:rPr>
        <w:t xml:space="preserve"> </w:t>
      </w:r>
      <w:r>
        <w:rPr>
          <w:smallCaps/>
          <w:color w:val="FFFFFF"/>
          <w:shd w:val="clear" w:color="auto" w:fill="2C4079"/>
        </w:rPr>
        <w:t>contingency</w:t>
      </w:r>
      <w:r>
        <w:rPr>
          <w:smallCaps/>
          <w:color w:val="FFFFFF"/>
          <w:spacing w:val="-10"/>
          <w:shd w:val="clear" w:color="auto" w:fill="2C4079"/>
        </w:rPr>
        <w:t xml:space="preserve"> </w:t>
      </w:r>
      <w:r>
        <w:rPr>
          <w:smallCaps/>
          <w:color w:val="FFFFFF"/>
          <w:spacing w:val="-2"/>
          <w:shd w:val="clear" w:color="auto" w:fill="2C4079"/>
        </w:rPr>
        <w:t>plans</w:t>
      </w:r>
      <w:r>
        <w:rPr>
          <w:smallCaps/>
          <w:color w:val="FFFFFF"/>
          <w:shd w:val="clear" w:color="auto" w:fill="2C4079"/>
        </w:rPr>
        <w:tab/>
      </w:r>
    </w:p>
    <w:p w14:paraId="10977714" w14:textId="77777777" w:rsidR="00303D39" w:rsidRDefault="00000000">
      <w:pPr>
        <w:pStyle w:val="BodyText"/>
        <w:spacing w:before="119"/>
        <w:ind w:left="557" w:right="158"/>
        <w:jc w:val="both"/>
      </w:pPr>
      <w:bookmarkStart w:id="3" w:name="Due_to_the_wide_variety_of_national_and_"/>
      <w:bookmarkEnd w:id="3"/>
      <w:r>
        <w:t xml:space="preserve">Due to the wide variety of national and international regulations for various types of contingency plans, merchant vessels will have specific plans for specific emergency situations. It is </w:t>
      </w:r>
      <w:proofErr w:type="gramStart"/>
      <w:r>
        <w:t>important</w:t>
      </w:r>
      <w:proofErr w:type="gramEnd"/>
      <w:r>
        <w:t xml:space="preserve"> the crew understand what types of contingency plans are required and how such plans inter-relate with the ship and shore emergency organization.</w:t>
      </w:r>
      <w:r>
        <w:rPr>
          <w:spacing w:val="80"/>
        </w:rPr>
        <w:t xml:space="preserve"> </w:t>
      </w:r>
      <w:r>
        <w:t>Required</w:t>
      </w:r>
      <w:r>
        <w:rPr>
          <w:spacing w:val="40"/>
        </w:rPr>
        <w:t xml:space="preserve"> </w:t>
      </w:r>
      <w:r>
        <w:t>contingency plans that are incorporated into the HSSEQ Management System by reference:</w:t>
      </w:r>
    </w:p>
    <w:p w14:paraId="1DBFE773" w14:textId="77777777" w:rsidR="00303D39" w:rsidRDefault="00000000">
      <w:pPr>
        <w:pStyle w:val="ListParagraph"/>
        <w:numPr>
          <w:ilvl w:val="1"/>
          <w:numId w:val="1"/>
        </w:numPr>
        <w:tabs>
          <w:tab w:val="left" w:pos="952"/>
        </w:tabs>
        <w:spacing w:before="120"/>
        <w:jc w:val="both"/>
      </w:pPr>
      <w:bookmarkStart w:id="4" w:name="_OPA_90_Vessel_Response_Plan"/>
      <w:bookmarkEnd w:id="4"/>
      <w:r>
        <w:t>OPA</w:t>
      </w:r>
      <w:r>
        <w:rPr>
          <w:spacing w:val="-7"/>
        </w:rPr>
        <w:t xml:space="preserve"> </w:t>
      </w:r>
      <w:r>
        <w:t>90</w:t>
      </w:r>
      <w:r>
        <w:rPr>
          <w:spacing w:val="-7"/>
        </w:rPr>
        <w:t xml:space="preserve"> </w:t>
      </w:r>
      <w:r>
        <w:t>Vessel</w:t>
      </w:r>
      <w:r>
        <w:rPr>
          <w:spacing w:val="-7"/>
        </w:rPr>
        <w:t xml:space="preserve"> </w:t>
      </w:r>
      <w:r>
        <w:t>Response</w:t>
      </w:r>
      <w:r>
        <w:rPr>
          <w:spacing w:val="-7"/>
        </w:rPr>
        <w:t xml:space="preserve"> </w:t>
      </w:r>
      <w:r>
        <w:rPr>
          <w:spacing w:val="-4"/>
        </w:rPr>
        <w:t>Plan</w:t>
      </w:r>
    </w:p>
    <w:p w14:paraId="661EEE8F" w14:textId="77777777" w:rsidR="00303D39" w:rsidRDefault="00000000">
      <w:pPr>
        <w:pStyle w:val="ListParagraph"/>
        <w:numPr>
          <w:ilvl w:val="1"/>
          <w:numId w:val="1"/>
        </w:numPr>
        <w:tabs>
          <w:tab w:val="left" w:pos="952"/>
        </w:tabs>
      </w:pPr>
      <w:bookmarkStart w:id="5" w:name="_MARPOL_SOPEP"/>
      <w:bookmarkEnd w:id="5"/>
      <w:r>
        <w:t>MARPOL</w:t>
      </w:r>
      <w:r>
        <w:rPr>
          <w:spacing w:val="-13"/>
        </w:rPr>
        <w:t xml:space="preserve"> </w:t>
      </w:r>
      <w:r>
        <w:rPr>
          <w:spacing w:val="-2"/>
        </w:rPr>
        <w:t>SOPEP</w:t>
      </w:r>
    </w:p>
    <w:p w14:paraId="4BB2BE3D" w14:textId="77777777" w:rsidR="00303D39" w:rsidRDefault="00000000">
      <w:pPr>
        <w:pStyle w:val="ListParagraph"/>
        <w:numPr>
          <w:ilvl w:val="1"/>
          <w:numId w:val="1"/>
        </w:numPr>
        <w:tabs>
          <w:tab w:val="left" w:pos="952"/>
        </w:tabs>
        <w:spacing w:before="118"/>
      </w:pPr>
      <w:bookmarkStart w:id="6" w:name="_MARPOL_SMPEP"/>
      <w:bookmarkEnd w:id="6"/>
      <w:r>
        <w:t>MARPOL</w:t>
      </w:r>
      <w:r>
        <w:rPr>
          <w:spacing w:val="-13"/>
        </w:rPr>
        <w:t xml:space="preserve"> </w:t>
      </w:r>
      <w:r>
        <w:rPr>
          <w:spacing w:val="-2"/>
        </w:rPr>
        <w:t>SMPEP</w:t>
      </w:r>
    </w:p>
    <w:p w14:paraId="2338FF48" w14:textId="77777777" w:rsidR="00303D39" w:rsidRDefault="00000000">
      <w:pPr>
        <w:pStyle w:val="ListParagraph"/>
        <w:numPr>
          <w:ilvl w:val="1"/>
          <w:numId w:val="1"/>
        </w:numPr>
        <w:tabs>
          <w:tab w:val="left" w:pos="952"/>
        </w:tabs>
      </w:pPr>
      <w:bookmarkStart w:id="7" w:name="_Panama_Canal_SOPEP"/>
      <w:bookmarkEnd w:id="7"/>
      <w:r>
        <w:t>Panama</w:t>
      </w:r>
      <w:r>
        <w:rPr>
          <w:spacing w:val="-7"/>
        </w:rPr>
        <w:t xml:space="preserve"> </w:t>
      </w:r>
      <w:r>
        <w:t>Canal</w:t>
      </w:r>
      <w:r>
        <w:rPr>
          <w:spacing w:val="-7"/>
        </w:rPr>
        <w:t xml:space="preserve"> </w:t>
      </w:r>
      <w:r>
        <w:rPr>
          <w:spacing w:val="-2"/>
        </w:rPr>
        <w:t>SOPEP</w:t>
      </w:r>
    </w:p>
    <w:p w14:paraId="5CA62DD1" w14:textId="77777777" w:rsidR="00303D39" w:rsidRDefault="00000000">
      <w:pPr>
        <w:pStyle w:val="ListParagraph"/>
        <w:numPr>
          <w:ilvl w:val="1"/>
          <w:numId w:val="1"/>
        </w:numPr>
        <w:tabs>
          <w:tab w:val="left" w:pos="952"/>
        </w:tabs>
      </w:pPr>
      <w:bookmarkStart w:id="8" w:name="_U.S._Individual_State_Vessel_Response_"/>
      <w:bookmarkEnd w:id="8"/>
      <w:r>
        <w:t>U.S.</w:t>
      </w:r>
      <w:r>
        <w:rPr>
          <w:spacing w:val="-8"/>
        </w:rPr>
        <w:t xml:space="preserve"> </w:t>
      </w:r>
      <w:r>
        <w:t>Individual</w:t>
      </w:r>
      <w:r>
        <w:rPr>
          <w:spacing w:val="-8"/>
        </w:rPr>
        <w:t xml:space="preserve"> </w:t>
      </w:r>
      <w:r>
        <w:t>State</w:t>
      </w:r>
      <w:r>
        <w:rPr>
          <w:spacing w:val="-8"/>
        </w:rPr>
        <w:t xml:space="preserve"> </w:t>
      </w:r>
      <w:r>
        <w:t>Vessel</w:t>
      </w:r>
      <w:r>
        <w:rPr>
          <w:spacing w:val="-8"/>
        </w:rPr>
        <w:t xml:space="preserve"> </w:t>
      </w:r>
      <w:r>
        <w:t>Response</w:t>
      </w:r>
      <w:r>
        <w:rPr>
          <w:spacing w:val="-9"/>
        </w:rPr>
        <w:t xml:space="preserve"> </w:t>
      </w:r>
      <w:r>
        <w:rPr>
          <w:spacing w:val="-2"/>
        </w:rPr>
        <w:t>Plans</w:t>
      </w:r>
    </w:p>
    <w:p w14:paraId="6E38A1C2" w14:textId="77777777" w:rsidR="00303D39" w:rsidRDefault="00000000">
      <w:pPr>
        <w:pStyle w:val="ListParagraph"/>
        <w:numPr>
          <w:ilvl w:val="1"/>
          <w:numId w:val="1"/>
        </w:numPr>
        <w:tabs>
          <w:tab w:val="left" w:pos="952"/>
        </w:tabs>
      </w:pPr>
      <w:bookmarkStart w:id="9" w:name="_Ship_Security_Plan"/>
      <w:bookmarkEnd w:id="9"/>
      <w:r>
        <w:t>Ship</w:t>
      </w:r>
      <w:r>
        <w:rPr>
          <w:spacing w:val="-7"/>
        </w:rPr>
        <w:t xml:space="preserve"> </w:t>
      </w:r>
      <w:r>
        <w:t>Security</w:t>
      </w:r>
      <w:r>
        <w:rPr>
          <w:spacing w:val="-7"/>
        </w:rPr>
        <w:t xml:space="preserve"> </w:t>
      </w:r>
      <w:r>
        <w:rPr>
          <w:spacing w:val="-4"/>
        </w:rPr>
        <w:t>Plan</w:t>
      </w:r>
    </w:p>
    <w:p w14:paraId="0DA292D4" w14:textId="77777777" w:rsidR="00303D39" w:rsidRDefault="00000000">
      <w:pPr>
        <w:pStyle w:val="ListParagraph"/>
        <w:numPr>
          <w:ilvl w:val="1"/>
          <w:numId w:val="1"/>
        </w:numPr>
        <w:tabs>
          <w:tab w:val="left" w:pos="952"/>
        </w:tabs>
      </w:pPr>
      <w:bookmarkStart w:id="10" w:name="_Fire_Safety_Operations_Manual"/>
      <w:bookmarkEnd w:id="10"/>
      <w:r>
        <w:t>Fire</w:t>
      </w:r>
      <w:r>
        <w:rPr>
          <w:spacing w:val="-10"/>
        </w:rPr>
        <w:t xml:space="preserve"> </w:t>
      </w:r>
      <w:r>
        <w:t>Safety</w:t>
      </w:r>
      <w:r>
        <w:rPr>
          <w:spacing w:val="-10"/>
        </w:rPr>
        <w:t xml:space="preserve"> </w:t>
      </w:r>
      <w:r>
        <w:t>Operations</w:t>
      </w:r>
      <w:r>
        <w:rPr>
          <w:spacing w:val="-9"/>
        </w:rPr>
        <w:t xml:space="preserve"> </w:t>
      </w:r>
      <w:r>
        <w:rPr>
          <w:spacing w:val="-2"/>
        </w:rPr>
        <w:t>Manual</w:t>
      </w:r>
    </w:p>
    <w:p w14:paraId="30E79287" w14:textId="77777777" w:rsidR="00303D39" w:rsidRDefault="00000000">
      <w:pPr>
        <w:pStyle w:val="ListParagraph"/>
        <w:numPr>
          <w:ilvl w:val="1"/>
          <w:numId w:val="1"/>
        </w:numPr>
        <w:tabs>
          <w:tab w:val="left" w:pos="952"/>
        </w:tabs>
      </w:pPr>
      <w:bookmarkStart w:id="11" w:name="_Emergency_Plan_-_Muster_List"/>
      <w:bookmarkEnd w:id="11"/>
      <w:r>
        <w:t>Emergency</w:t>
      </w:r>
      <w:r>
        <w:rPr>
          <w:spacing w:val="-7"/>
        </w:rPr>
        <w:t xml:space="preserve"> </w:t>
      </w:r>
      <w:r>
        <w:t>Plan</w:t>
      </w:r>
      <w:r>
        <w:rPr>
          <w:spacing w:val="-7"/>
        </w:rPr>
        <w:t xml:space="preserve"> </w:t>
      </w:r>
      <w:r>
        <w:t>-</w:t>
      </w:r>
      <w:r>
        <w:rPr>
          <w:spacing w:val="-8"/>
        </w:rPr>
        <w:t xml:space="preserve"> </w:t>
      </w:r>
      <w:r>
        <w:t>Muster</w:t>
      </w:r>
      <w:r>
        <w:rPr>
          <w:spacing w:val="-8"/>
        </w:rPr>
        <w:t xml:space="preserve"> </w:t>
      </w:r>
      <w:r>
        <w:rPr>
          <w:spacing w:val="-4"/>
        </w:rPr>
        <w:t>List</w:t>
      </w:r>
    </w:p>
    <w:p w14:paraId="3EED11C5" w14:textId="77777777" w:rsidR="00303D39" w:rsidRDefault="00000000">
      <w:pPr>
        <w:pStyle w:val="ListParagraph"/>
        <w:numPr>
          <w:ilvl w:val="1"/>
          <w:numId w:val="1"/>
        </w:numPr>
        <w:tabs>
          <w:tab w:val="left" w:pos="952"/>
        </w:tabs>
        <w:spacing w:before="118"/>
      </w:pPr>
      <w:bookmarkStart w:id="12" w:name="_Emergency_Station_Bill"/>
      <w:bookmarkEnd w:id="12"/>
      <w:r>
        <w:t>Emergency</w:t>
      </w:r>
      <w:r>
        <w:rPr>
          <w:spacing w:val="-11"/>
        </w:rPr>
        <w:t xml:space="preserve"> </w:t>
      </w:r>
      <w:r>
        <w:t>Station</w:t>
      </w:r>
      <w:r>
        <w:rPr>
          <w:spacing w:val="-11"/>
        </w:rPr>
        <w:t xml:space="preserve"> </w:t>
      </w:r>
      <w:r>
        <w:rPr>
          <w:spacing w:val="-4"/>
        </w:rPr>
        <w:t>Bill</w:t>
      </w:r>
    </w:p>
    <w:p w14:paraId="27CF8C68" w14:textId="77777777" w:rsidR="00303D39" w:rsidRDefault="00000000">
      <w:pPr>
        <w:pStyle w:val="ListParagraph"/>
        <w:numPr>
          <w:ilvl w:val="1"/>
          <w:numId w:val="1"/>
        </w:numPr>
        <w:tabs>
          <w:tab w:val="left" w:pos="952"/>
        </w:tabs>
      </w:pPr>
      <w:bookmarkStart w:id="13" w:name="_ICS_Booklet_&quot;Guide_to_Helicopter/Ship_"/>
      <w:bookmarkEnd w:id="13"/>
      <w:r>
        <w:t>ICS</w:t>
      </w:r>
      <w:r>
        <w:rPr>
          <w:spacing w:val="-10"/>
        </w:rPr>
        <w:t xml:space="preserve"> </w:t>
      </w:r>
      <w:r>
        <w:t>Booklet</w:t>
      </w:r>
      <w:r>
        <w:rPr>
          <w:spacing w:val="-9"/>
        </w:rPr>
        <w:t xml:space="preserve"> </w:t>
      </w:r>
      <w:r>
        <w:t>"Guide</w:t>
      </w:r>
      <w:r>
        <w:rPr>
          <w:spacing w:val="-9"/>
        </w:rPr>
        <w:t xml:space="preserve"> </w:t>
      </w:r>
      <w:r>
        <w:t>to</w:t>
      </w:r>
      <w:r>
        <w:rPr>
          <w:spacing w:val="-9"/>
        </w:rPr>
        <w:t xml:space="preserve"> </w:t>
      </w:r>
      <w:r>
        <w:t>Helicopter/Ship</w:t>
      </w:r>
      <w:r>
        <w:rPr>
          <w:spacing w:val="-8"/>
        </w:rPr>
        <w:t xml:space="preserve"> </w:t>
      </w:r>
      <w:r>
        <w:rPr>
          <w:spacing w:val="-2"/>
        </w:rPr>
        <w:t>Operations"</w:t>
      </w:r>
    </w:p>
    <w:p w14:paraId="604A4374" w14:textId="77777777" w:rsidR="00303D39" w:rsidRDefault="00000000">
      <w:pPr>
        <w:pStyle w:val="ListParagraph"/>
        <w:numPr>
          <w:ilvl w:val="1"/>
          <w:numId w:val="1"/>
        </w:numPr>
        <w:tabs>
          <w:tab w:val="left" w:pos="952"/>
        </w:tabs>
        <w:spacing w:before="116"/>
      </w:pPr>
      <w:bookmarkStart w:id="14" w:name="_U._S._State_Vessel_Response_Plans_(Cal"/>
      <w:bookmarkEnd w:id="14"/>
      <w:r>
        <w:t>U.</w:t>
      </w:r>
      <w:r>
        <w:rPr>
          <w:spacing w:val="-8"/>
        </w:rPr>
        <w:t xml:space="preserve"> </w:t>
      </w:r>
      <w:r>
        <w:t>S.</w:t>
      </w:r>
      <w:r>
        <w:rPr>
          <w:spacing w:val="-7"/>
        </w:rPr>
        <w:t xml:space="preserve"> </w:t>
      </w:r>
      <w:r>
        <w:t>State</w:t>
      </w:r>
      <w:r>
        <w:rPr>
          <w:spacing w:val="-5"/>
        </w:rPr>
        <w:t xml:space="preserve"> </w:t>
      </w:r>
      <w:r>
        <w:t>Vessel</w:t>
      </w:r>
      <w:r>
        <w:rPr>
          <w:spacing w:val="-6"/>
        </w:rPr>
        <w:t xml:space="preserve"> </w:t>
      </w:r>
      <w:r>
        <w:t>Response</w:t>
      </w:r>
      <w:r>
        <w:rPr>
          <w:spacing w:val="-7"/>
        </w:rPr>
        <w:t xml:space="preserve"> </w:t>
      </w:r>
      <w:r>
        <w:t>Plans</w:t>
      </w:r>
      <w:r>
        <w:rPr>
          <w:spacing w:val="-7"/>
        </w:rPr>
        <w:t xml:space="preserve"> </w:t>
      </w:r>
      <w:r>
        <w:rPr>
          <w:spacing w:val="-2"/>
        </w:rPr>
        <w:t>(California/Alaska)</w:t>
      </w:r>
    </w:p>
    <w:p w14:paraId="1C0A9288" w14:textId="77777777" w:rsidR="00303D39" w:rsidRDefault="00000000">
      <w:pPr>
        <w:pStyle w:val="ListParagraph"/>
        <w:numPr>
          <w:ilvl w:val="1"/>
          <w:numId w:val="1"/>
        </w:numPr>
        <w:tabs>
          <w:tab w:val="left" w:pos="952"/>
        </w:tabs>
      </w:pPr>
      <w:bookmarkStart w:id="15" w:name="_ISP_Code_Ship_Security_Plan"/>
      <w:bookmarkEnd w:id="15"/>
      <w:r>
        <w:t>ISP</w:t>
      </w:r>
      <w:r>
        <w:rPr>
          <w:spacing w:val="-8"/>
        </w:rPr>
        <w:t xml:space="preserve"> </w:t>
      </w:r>
      <w:r>
        <w:t>Code</w:t>
      </w:r>
      <w:r>
        <w:rPr>
          <w:spacing w:val="-8"/>
        </w:rPr>
        <w:t xml:space="preserve"> </w:t>
      </w:r>
      <w:r>
        <w:t>Ship</w:t>
      </w:r>
      <w:r>
        <w:rPr>
          <w:spacing w:val="-7"/>
        </w:rPr>
        <w:t xml:space="preserve"> </w:t>
      </w:r>
      <w:r>
        <w:t>Security</w:t>
      </w:r>
      <w:r>
        <w:rPr>
          <w:spacing w:val="-8"/>
        </w:rPr>
        <w:t xml:space="preserve"> </w:t>
      </w:r>
      <w:r>
        <w:rPr>
          <w:spacing w:val="-4"/>
        </w:rPr>
        <w:t>Plan</w:t>
      </w:r>
    </w:p>
    <w:p w14:paraId="5CA439A1" w14:textId="77777777" w:rsidR="00303D39" w:rsidRDefault="00000000">
      <w:pPr>
        <w:pStyle w:val="ListParagraph"/>
        <w:numPr>
          <w:ilvl w:val="1"/>
          <w:numId w:val="1"/>
        </w:numPr>
        <w:tabs>
          <w:tab w:val="left" w:pos="952"/>
        </w:tabs>
      </w:pPr>
      <w:bookmarkStart w:id="16" w:name="_MARSAR_-_Search_and_Rescue_Manual"/>
      <w:bookmarkEnd w:id="16"/>
      <w:r>
        <w:t>MARSAR</w:t>
      </w:r>
      <w:r>
        <w:rPr>
          <w:spacing w:val="-6"/>
        </w:rPr>
        <w:t xml:space="preserve"> </w:t>
      </w:r>
      <w:r>
        <w:t>-</w:t>
      </w:r>
      <w:r>
        <w:rPr>
          <w:spacing w:val="-6"/>
        </w:rPr>
        <w:t xml:space="preserve"> </w:t>
      </w:r>
      <w:r>
        <w:t>Search</w:t>
      </w:r>
      <w:r>
        <w:rPr>
          <w:spacing w:val="-5"/>
        </w:rPr>
        <w:t xml:space="preserve"> </w:t>
      </w:r>
      <w:r>
        <w:t>and</w:t>
      </w:r>
      <w:r>
        <w:rPr>
          <w:spacing w:val="-5"/>
        </w:rPr>
        <w:t xml:space="preserve"> </w:t>
      </w:r>
      <w:r>
        <w:t>Rescue</w:t>
      </w:r>
      <w:r>
        <w:rPr>
          <w:spacing w:val="-6"/>
        </w:rPr>
        <w:t xml:space="preserve"> </w:t>
      </w:r>
      <w:r>
        <w:rPr>
          <w:spacing w:val="-2"/>
        </w:rPr>
        <w:t>Manual</w:t>
      </w:r>
    </w:p>
    <w:p w14:paraId="2343C79B" w14:textId="77777777" w:rsidR="00303D39" w:rsidRDefault="00000000">
      <w:pPr>
        <w:pStyle w:val="BodyText"/>
        <w:spacing w:before="118"/>
        <w:ind w:left="557" w:right="159"/>
        <w:jc w:val="both"/>
      </w:pPr>
      <w:bookmarkStart w:id="17" w:name="Contingency_plans_do_not_provide_a_stand"/>
      <w:bookmarkEnd w:id="17"/>
      <w:r>
        <w:t>Contingency plans do not provide a standard recipe that may be followed to the letter, because real situations will always have specific circumstances that differ from the planned cases.</w:t>
      </w:r>
      <w:r>
        <w:rPr>
          <w:spacing w:val="40"/>
        </w:rPr>
        <w:t xml:space="preserve"> </w:t>
      </w:r>
      <w:r>
        <w:t>Contingency plans are primarily meant to be a guide for preparing for the handling of unexpected situations.</w:t>
      </w:r>
      <w:r>
        <w:rPr>
          <w:spacing w:val="40"/>
        </w:rPr>
        <w:t xml:space="preserve"> </w:t>
      </w:r>
      <w:r>
        <w:t xml:space="preserve">By studying the </w:t>
      </w:r>
      <w:proofErr w:type="gramStart"/>
      <w:r>
        <w:t>plan in advance</w:t>
      </w:r>
      <w:proofErr w:type="gramEnd"/>
      <w:r>
        <w:t>, it is possible to evaluate and prepare for special circumstances in a real situation.</w:t>
      </w:r>
    </w:p>
    <w:p w14:paraId="7A4D5148" w14:textId="77777777" w:rsidR="00303D39" w:rsidRDefault="00000000">
      <w:pPr>
        <w:pStyle w:val="ListParagraph"/>
        <w:numPr>
          <w:ilvl w:val="1"/>
          <w:numId w:val="1"/>
        </w:numPr>
        <w:tabs>
          <w:tab w:val="left" w:pos="952"/>
        </w:tabs>
        <w:spacing w:before="122" w:line="237" w:lineRule="auto"/>
        <w:ind w:right="410"/>
        <w:jc w:val="both"/>
      </w:pPr>
      <w:bookmarkStart w:id="18" w:name="_Contingency_plans_provide_a_foundation"/>
      <w:bookmarkEnd w:id="18"/>
      <w:r>
        <w:t>Contingency plans provide a foundation for training so that staff can understand what will be demanded of them in various situations</w:t>
      </w:r>
    </w:p>
    <w:p w14:paraId="03343E68" w14:textId="77777777" w:rsidR="00303D39" w:rsidRDefault="00303D39">
      <w:pPr>
        <w:pStyle w:val="ListParagraph"/>
        <w:spacing w:line="237" w:lineRule="auto"/>
        <w:jc w:val="both"/>
        <w:sectPr w:rsidR="00303D39" w:rsidSect="001A5FBA">
          <w:headerReference w:type="even" r:id="rId7"/>
          <w:headerReference w:type="default" r:id="rId8"/>
          <w:footerReference w:type="even" r:id="rId9"/>
          <w:footerReference w:type="default" r:id="rId10"/>
          <w:headerReference w:type="first" r:id="rId11"/>
          <w:footerReference w:type="first" r:id="rId12"/>
          <w:type w:val="continuous"/>
          <w:pgSz w:w="11910" w:h="16840"/>
          <w:pgMar w:top="1920" w:right="992" w:bottom="280" w:left="992" w:header="283" w:footer="720" w:gutter="0"/>
          <w:cols w:space="720"/>
          <w:docGrid w:linePitch="299"/>
        </w:sectPr>
      </w:pPr>
    </w:p>
    <w:p w14:paraId="064ACA04" w14:textId="77777777" w:rsidR="00303D39" w:rsidRDefault="00000000">
      <w:pPr>
        <w:pStyle w:val="ListParagraph"/>
        <w:numPr>
          <w:ilvl w:val="1"/>
          <w:numId w:val="1"/>
        </w:numPr>
        <w:tabs>
          <w:tab w:val="left" w:pos="952"/>
        </w:tabs>
        <w:spacing w:before="74" w:line="237" w:lineRule="auto"/>
        <w:ind w:right="405"/>
      </w:pPr>
      <w:bookmarkStart w:id="19" w:name="_By_training_in_accordance_with_conting"/>
      <w:bookmarkEnd w:id="19"/>
      <w:r>
        <w:lastRenderedPageBreak/>
        <w:t>By</w:t>
      </w:r>
      <w:r>
        <w:rPr>
          <w:spacing w:val="35"/>
        </w:rPr>
        <w:t xml:space="preserve"> </w:t>
      </w:r>
      <w:r>
        <w:t>training</w:t>
      </w:r>
      <w:r>
        <w:rPr>
          <w:spacing w:val="35"/>
        </w:rPr>
        <w:t xml:space="preserve"> </w:t>
      </w:r>
      <w:r>
        <w:t>in</w:t>
      </w:r>
      <w:r>
        <w:rPr>
          <w:spacing w:val="35"/>
        </w:rPr>
        <w:t xml:space="preserve"> </w:t>
      </w:r>
      <w:r>
        <w:t>accordance</w:t>
      </w:r>
      <w:r>
        <w:rPr>
          <w:spacing w:val="34"/>
        </w:rPr>
        <w:t xml:space="preserve"> </w:t>
      </w:r>
      <w:r>
        <w:t>with</w:t>
      </w:r>
      <w:r>
        <w:rPr>
          <w:spacing w:val="36"/>
        </w:rPr>
        <w:t xml:space="preserve"> </w:t>
      </w:r>
      <w:r>
        <w:t>contingency</w:t>
      </w:r>
      <w:r>
        <w:rPr>
          <w:spacing w:val="35"/>
        </w:rPr>
        <w:t xml:space="preserve"> </w:t>
      </w:r>
      <w:r>
        <w:t>plans,</w:t>
      </w:r>
      <w:r>
        <w:rPr>
          <w:spacing w:val="34"/>
        </w:rPr>
        <w:t xml:space="preserve"> </w:t>
      </w:r>
      <w:r>
        <w:t>it</w:t>
      </w:r>
      <w:r>
        <w:rPr>
          <w:spacing w:val="34"/>
        </w:rPr>
        <w:t xml:space="preserve"> </w:t>
      </w:r>
      <w:r>
        <w:t>is</w:t>
      </w:r>
      <w:r>
        <w:rPr>
          <w:spacing w:val="38"/>
        </w:rPr>
        <w:t xml:space="preserve"> </w:t>
      </w:r>
      <w:r>
        <w:t>possible</w:t>
      </w:r>
      <w:r>
        <w:rPr>
          <w:spacing w:val="35"/>
        </w:rPr>
        <w:t xml:space="preserve"> </w:t>
      </w:r>
      <w:r>
        <w:t>to</w:t>
      </w:r>
      <w:r>
        <w:rPr>
          <w:spacing w:val="34"/>
        </w:rPr>
        <w:t xml:space="preserve"> </w:t>
      </w:r>
      <w:r>
        <w:t>see</w:t>
      </w:r>
      <w:r>
        <w:rPr>
          <w:spacing w:val="35"/>
        </w:rPr>
        <w:t xml:space="preserve"> </w:t>
      </w:r>
      <w:r>
        <w:t>if</w:t>
      </w:r>
      <w:r>
        <w:rPr>
          <w:spacing w:val="34"/>
        </w:rPr>
        <w:t xml:space="preserve"> </w:t>
      </w:r>
      <w:r>
        <w:t>the</w:t>
      </w:r>
      <w:r>
        <w:rPr>
          <w:spacing w:val="34"/>
        </w:rPr>
        <w:t xml:space="preserve"> </w:t>
      </w:r>
      <w:r>
        <w:t>actions specified are suitable or if methods or equipment are adequate, etc.</w:t>
      </w:r>
    </w:p>
    <w:p w14:paraId="7E34B1B3" w14:textId="77777777" w:rsidR="00303D39" w:rsidRDefault="00000000">
      <w:pPr>
        <w:pStyle w:val="ListParagraph"/>
        <w:numPr>
          <w:ilvl w:val="1"/>
          <w:numId w:val="1"/>
        </w:numPr>
        <w:tabs>
          <w:tab w:val="left" w:pos="952"/>
          <w:tab w:val="left" w:pos="1621"/>
          <w:tab w:val="left" w:pos="3044"/>
          <w:tab w:val="left" w:pos="3554"/>
          <w:tab w:val="left" w:pos="4212"/>
          <w:tab w:val="left" w:pos="4606"/>
          <w:tab w:val="left" w:pos="7440"/>
          <w:tab w:val="left" w:pos="7858"/>
        </w:tabs>
        <w:spacing w:before="122" w:line="237" w:lineRule="auto"/>
        <w:ind w:right="409"/>
      </w:pPr>
      <w:bookmarkStart w:id="20" w:name="_Such_observations_are_used_to_revise_c"/>
      <w:bookmarkEnd w:id="20"/>
      <w:r>
        <w:rPr>
          <w:spacing w:val="-4"/>
        </w:rPr>
        <w:t>Such</w:t>
      </w:r>
      <w:r>
        <w:tab/>
      </w:r>
      <w:r>
        <w:rPr>
          <w:spacing w:val="-2"/>
        </w:rPr>
        <w:t>observations</w:t>
      </w:r>
      <w:r>
        <w:tab/>
      </w:r>
      <w:r>
        <w:rPr>
          <w:spacing w:val="-4"/>
        </w:rPr>
        <w:t>are</w:t>
      </w:r>
      <w:r>
        <w:tab/>
      </w:r>
      <w:r>
        <w:rPr>
          <w:spacing w:val="-4"/>
        </w:rPr>
        <w:t>used</w:t>
      </w:r>
      <w:r>
        <w:tab/>
      </w:r>
      <w:r>
        <w:rPr>
          <w:spacing w:val="-6"/>
        </w:rPr>
        <w:t>to</w:t>
      </w:r>
      <w:r>
        <w:tab/>
        <w:t>revise</w:t>
      </w:r>
      <w:r>
        <w:rPr>
          <w:spacing w:val="80"/>
        </w:rPr>
        <w:t xml:space="preserve"> </w:t>
      </w:r>
      <w:r>
        <w:t>contingency</w:t>
      </w:r>
      <w:r>
        <w:rPr>
          <w:spacing w:val="80"/>
        </w:rPr>
        <w:t xml:space="preserve"> </w:t>
      </w:r>
      <w:r>
        <w:t>plans</w:t>
      </w:r>
      <w:r>
        <w:tab/>
      </w:r>
      <w:r>
        <w:rPr>
          <w:spacing w:val="-6"/>
        </w:rPr>
        <w:t>so</w:t>
      </w:r>
      <w:r>
        <w:tab/>
        <w:t>that</w:t>
      </w:r>
      <w:r>
        <w:rPr>
          <w:spacing w:val="80"/>
        </w:rPr>
        <w:t xml:space="preserve"> </w:t>
      </w:r>
      <w:r>
        <w:t>emergency preparedness can be enhanced</w:t>
      </w:r>
    </w:p>
    <w:p w14:paraId="46922457" w14:textId="77777777" w:rsidR="00303D39" w:rsidRDefault="00000000">
      <w:pPr>
        <w:pStyle w:val="Heading1"/>
        <w:numPr>
          <w:ilvl w:val="0"/>
          <w:numId w:val="1"/>
        </w:numPr>
        <w:tabs>
          <w:tab w:val="left" w:pos="592"/>
          <w:tab w:val="left" w:pos="9793"/>
        </w:tabs>
        <w:spacing w:before="243"/>
        <w:ind w:hanging="432"/>
      </w:pPr>
      <w:bookmarkStart w:id="21" w:name="2_Guidance_on_Environmental_Response_Typ"/>
      <w:bookmarkEnd w:id="21"/>
      <w:r>
        <w:rPr>
          <w:smallCaps/>
          <w:color w:val="FFFFFF"/>
          <w:shd w:val="clear" w:color="auto" w:fill="2C4079"/>
        </w:rPr>
        <w:t>Guidance</w:t>
      </w:r>
      <w:r>
        <w:rPr>
          <w:smallCaps/>
          <w:color w:val="FFFFFF"/>
          <w:spacing w:val="-15"/>
          <w:shd w:val="clear" w:color="auto" w:fill="2C4079"/>
        </w:rPr>
        <w:t xml:space="preserve"> </w:t>
      </w:r>
      <w:r>
        <w:rPr>
          <w:smallCaps/>
          <w:color w:val="FFFFFF"/>
          <w:shd w:val="clear" w:color="auto" w:fill="2C4079"/>
        </w:rPr>
        <w:t>on</w:t>
      </w:r>
      <w:r>
        <w:rPr>
          <w:smallCaps/>
          <w:color w:val="FFFFFF"/>
          <w:spacing w:val="-14"/>
          <w:shd w:val="clear" w:color="auto" w:fill="2C4079"/>
        </w:rPr>
        <w:t xml:space="preserve"> </w:t>
      </w:r>
      <w:r>
        <w:rPr>
          <w:smallCaps/>
          <w:color w:val="FFFFFF"/>
          <w:shd w:val="clear" w:color="auto" w:fill="2C4079"/>
        </w:rPr>
        <w:t>Environmental</w:t>
      </w:r>
      <w:r>
        <w:rPr>
          <w:smallCaps/>
          <w:color w:val="FFFFFF"/>
          <w:spacing w:val="-13"/>
          <w:shd w:val="clear" w:color="auto" w:fill="2C4079"/>
        </w:rPr>
        <w:t xml:space="preserve"> </w:t>
      </w:r>
      <w:r>
        <w:rPr>
          <w:smallCaps/>
          <w:color w:val="FFFFFF"/>
          <w:shd w:val="clear" w:color="auto" w:fill="2C4079"/>
        </w:rPr>
        <w:t>Response</w:t>
      </w:r>
      <w:r>
        <w:rPr>
          <w:smallCaps/>
          <w:color w:val="FFFFFF"/>
          <w:spacing w:val="-14"/>
          <w:shd w:val="clear" w:color="auto" w:fill="2C4079"/>
        </w:rPr>
        <w:t xml:space="preserve"> </w:t>
      </w:r>
      <w:r>
        <w:rPr>
          <w:smallCaps/>
          <w:color w:val="FFFFFF"/>
          <w:spacing w:val="-2"/>
          <w:shd w:val="clear" w:color="auto" w:fill="2C4079"/>
        </w:rPr>
        <w:t>Types</w:t>
      </w:r>
      <w:r>
        <w:rPr>
          <w:smallCaps/>
          <w:color w:val="FFFFFF"/>
          <w:shd w:val="clear" w:color="auto" w:fill="2C4079"/>
        </w:rPr>
        <w:tab/>
      </w:r>
    </w:p>
    <w:p w14:paraId="6F890621" w14:textId="77777777" w:rsidR="00303D39" w:rsidRDefault="00000000">
      <w:pPr>
        <w:pStyle w:val="BodyText"/>
        <w:spacing w:before="118"/>
        <w:ind w:left="563" w:right="158"/>
        <w:jc w:val="both"/>
      </w:pPr>
      <w:bookmarkStart w:id="22" w:name="Vessels_that_experience_an_accidental_or"/>
      <w:bookmarkEnd w:id="22"/>
      <w:r>
        <w:t xml:space="preserve">Vessels that experience </w:t>
      </w:r>
      <w:proofErr w:type="gramStart"/>
      <w:r>
        <w:t>an accidental</w:t>
      </w:r>
      <w:proofErr w:type="gramEnd"/>
      <w:r>
        <w:t xml:space="preserve"> or </w:t>
      </w:r>
      <w:proofErr w:type="spellStart"/>
      <w:r>
        <w:t>unauthorised</w:t>
      </w:r>
      <w:proofErr w:type="spellEnd"/>
      <w:r>
        <w:t xml:space="preserve"> discharge of oil or chemicals shall implement notification and mitigation actions to reduce the environmental impact in accordance with the vessel’s SOPEP. Vessels transiting the Panama Canal shall also carry out the actions required by the Panama Canal Shipboard Oil Pollution Emergency Plan (PC- SOPEP).</w:t>
      </w:r>
      <w:r>
        <w:rPr>
          <w:spacing w:val="40"/>
        </w:rPr>
        <w:t xml:space="preserve"> </w:t>
      </w:r>
      <w:r>
        <w:t>SOPEP notifications shall be timely and shall be made to the appropriate regulatory agencies of the coastal state.</w:t>
      </w:r>
    </w:p>
    <w:p w14:paraId="76BD08BC" w14:textId="77777777" w:rsidR="00303D39" w:rsidRDefault="00000000">
      <w:pPr>
        <w:pStyle w:val="BodyText"/>
        <w:spacing w:before="120"/>
        <w:ind w:left="563" w:right="162"/>
        <w:jc w:val="both"/>
      </w:pPr>
      <w:bookmarkStart w:id="23" w:name="A_vessel_in_U.S_waters_(including_within"/>
      <w:bookmarkEnd w:id="23"/>
      <w:r>
        <w:t xml:space="preserve">A vessel in U.S waters (including within the U.S. 200 Mile Exclusive Economic Zone) that experiences an oil spill must carry out notification and mitigating action as required by the Oil Pollution Act of 1990 (OPA 90) in accordance with the vessel’s U.S. Coast Guard approved </w:t>
      </w:r>
      <w:r>
        <w:rPr>
          <w:spacing w:val="-4"/>
        </w:rPr>
        <w:t>VRP.</w:t>
      </w:r>
    </w:p>
    <w:p w14:paraId="4D05121A" w14:textId="77777777" w:rsidR="00303D39" w:rsidRDefault="00000000">
      <w:pPr>
        <w:pStyle w:val="BodyText"/>
        <w:spacing w:before="120"/>
        <w:ind w:left="563" w:right="164"/>
        <w:jc w:val="both"/>
      </w:pPr>
      <w:bookmarkStart w:id="24" w:name="In_general,_VRP_requirements_include_pro"/>
      <w:bookmarkEnd w:id="24"/>
      <w:r>
        <w:t>In general, VRP requirements include prompt notification of the designated Qualified</w:t>
      </w:r>
      <w:r>
        <w:rPr>
          <w:spacing w:val="40"/>
        </w:rPr>
        <w:t xml:space="preserve"> </w:t>
      </w:r>
      <w:r>
        <w:t>Individual (QI) and the U.S. Coast Guard.</w:t>
      </w:r>
    </w:p>
    <w:p w14:paraId="56944862" w14:textId="77777777" w:rsidR="00303D39" w:rsidRDefault="00000000">
      <w:pPr>
        <w:pStyle w:val="BodyText"/>
        <w:spacing w:before="120"/>
        <w:ind w:left="563" w:right="161"/>
        <w:jc w:val="both"/>
      </w:pPr>
      <w:bookmarkStart w:id="25" w:name="Vessels_that_are_located_within_U.S._Sta"/>
      <w:bookmarkEnd w:id="25"/>
      <w:r>
        <w:t>Vessels that are located within U.S. State waters (generally within 3 nautical miles of shore) may also be required to notify State marine environmental authorities.</w:t>
      </w:r>
      <w:r>
        <w:rPr>
          <w:spacing w:val="40"/>
        </w:rPr>
        <w:t xml:space="preserve"> </w:t>
      </w:r>
      <w:r>
        <w:t>Details for notifying such officials are available in the VRP.</w:t>
      </w:r>
      <w:r>
        <w:rPr>
          <w:spacing w:val="40"/>
        </w:rPr>
        <w:t xml:space="preserve"> </w:t>
      </w:r>
      <w:r>
        <w:t>Vessels that experience incidents in the waters of the State of California must also comply with the requirements of the California Contingency Plan &amp; Emergency Response Manual.</w:t>
      </w:r>
    </w:p>
    <w:sectPr w:rsidR="00303D39" w:rsidSect="00F7176B">
      <w:pgSz w:w="11910" w:h="16840"/>
      <w:pgMar w:top="1320" w:right="992" w:bottom="280" w:left="992" w:header="283"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9EDDC" w14:textId="77777777" w:rsidR="003C77A1" w:rsidRDefault="003C77A1" w:rsidP="001A5FBA">
      <w:r>
        <w:separator/>
      </w:r>
    </w:p>
  </w:endnote>
  <w:endnote w:type="continuationSeparator" w:id="0">
    <w:p w14:paraId="2E4D0AA6" w14:textId="77777777" w:rsidR="003C77A1" w:rsidRDefault="003C77A1" w:rsidP="001A5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2E559" w14:textId="77777777" w:rsidR="00F7176B" w:rsidRDefault="00F717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B3D17" w14:textId="77777777" w:rsidR="00F7176B" w:rsidRDefault="00F717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C39FC" w14:textId="77777777" w:rsidR="00F7176B" w:rsidRDefault="00F71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F3602" w14:textId="77777777" w:rsidR="003C77A1" w:rsidRDefault="003C77A1" w:rsidP="001A5FBA">
      <w:r>
        <w:separator/>
      </w:r>
    </w:p>
  </w:footnote>
  <w:footnote w:type="continuationSeparator" w:id="0">
    <w:p w14:paraId="6E5E313B" w14:textId="77777777" w:rsidR="003C77A1" w:rsidRDefault="003C77A1" w:rsidP="001A5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FF27F" w14:textId="77777777" w:rsidR="00F7176B" w:rsidRDefault="00F717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18" w:type="dxa"/>
      <w:tblInd w:w="-23" w:type="dxa"/>
      <w:tblLayout w:type="fixed"/>
      <w:tblCellMar>
        <w:left w:w="43" w:type="dxa"/>
        <w:right w:w="43" w:type="dxa"/>
      </w:tblCellMar>
      <w:tblLook w:val="04A0" w:firstRow="1" w:lastRow="0" w:firstColumn="1" w:lastColumn="0" w:noHBand="0" w:noVBand="1"/>
    </w:tblPr>
    <w:tblGrid>
      <w:gridCol w:w="1840"/>
      <w:gridCol w:w="6047"/>
      <w:gridCol w:w="1831"/>
    </w:tblGrid>
    <w:tr w:rsidR="001A5FBA" w14:paraId="1382AEFC" w14:textId="77777777" w:rsidTr="00F7176B">
      <w:trPr>
        <w:cantSplit/>
        <w:trHeight w:val="186"/>
      </w:trPr>
      <w:tc>
        <w:tcPr>
          <w:tcW w:w="1840" w:type="dxa"/>
          <w:vMerge w:val="restart"/>
          <w:tcBorders>
            <w:top w:val="double" w:sz="6" w:space="0" w:color="auto"/>
            <w:left w:val="double" w:sz="6" w:space="0" w:color="auto"/>
            <w:bottom w:val="double" w:sz="6" w:space="0" w:color="auto"/>
            <w:right w:val="nil"/>
          </w:tcBorders>
          <w:vAlign w:val="center"/>
          <w:hideMark/>
        </w:tcPr>
        <w:p w14:paraId="3FCB76D4" w14:textId="77777777" w:rsidR="001A5FBA" w:rsidRDefault="001A5FBA" w:rsidP="001A5FBA">
          <w:pPr>
            <w:pStyle w:val="DefaultText"/>
            <w:spacing w:line="256" w:lineRule="auto"/>
            <w:jc w:val="center"/>
            <w:rPr>
              <w:lang w:bidi="th-TH"/>
            </w:rPr>
          </w:pPr>
        </w:p>
      </w:tc>
      <w:tc>
        <w:tcPr>
          <w:tcW w:w="6047" w:type="dxa"/>
          <w:tcBorders>
            <w:top w:val="double" w:sz="6" w:space="0" w:color="auto"/>
            <w:left w:val="single" w:sz="6" w:space="0" w:color="auto"/>
            <w:bottom w:val="nil"/>
            <w:right w:val="nil"/>
          </w:tcBorders>
          <w:vAlign w:val="center"/>
        </w:tcPr>
        <w:p w14:paraId="7B9A8B3D" w14:textId="77777777" w:rsidR="001A5FBA" w:rsidRDefault="001A5FBA" w:rsidP="001A5FBA">
          <w:pPr>
            <w:pStyle w:val="DefaultText"/>
            <w:spacing w:line="256" w:lineRule="auto"/>
            <w:jc w:val="center"/>
            <w:rPr>
              <w:sz w:val="22"/>
              <w:lang w:bidi="th-TH"/>
            </w:rPr>
          </w:pPr>
          <w:r w:rsidRPr="00D56E20">
            <w:rPr>
              <w:rFonts w:ascii="Arial" w:hAnsi="Arial"/>
              <w:b/>
              <w:color w:val="FF0000"/>
              <w:spacing w:val="-3"/>
            </w:rPr>
            <w:t>Emergency Contingency Procedures</w:t>
          </w:r>
        </w:p>
      </w:tc>
      <w:tc>
        <w:tcPr>
          <w:tcW w:w="1831" w:type="dxa"/>
          <w:tcBorders>
            <w:top w:val="double" w:sz="6" w:space="0" w:color="auto"/>
            <w:left w:val="single" w:sz="6" w:space="0" w:color="auto"/>
            <w:bottom w:val="single" w:sz="6" w:space="0" w:color="auto"/>
            <w:right w:val="double" w:sz="6" w:space="0" w:color="auto"/>
          </w:tcBorders>
          <w:vAlign w:val="center"/>
          <w:hideMark/>
        </w:tcPr>
        <w:p w14:paraId="72DC9666" w14:textId="643CB125" w:rsidR="001A5FBA" w:rsidRDefault="001A5FBA" w:rsidP="001A5FBA">
          <w:pPr>
            <w:pStyle w:val="TableText"/>
            <w:spacing w:line="256" w:lineRule="auto"/>
            <w:jc w:val="center"/>
            <w:rPr>
              <w:b/>
              <w:bCs/>
              <w:sz w:val="22"/>
              <w:lang w:eastAsia="ja-JP" w:bidi="th-TH"/>
            </w:rPr>
          </w:pPr>
          <w:r>
            <w:rPr>
              <w:rFonts w:ascii="Arial" w:hAnsi="Arial"/>
              <w:b/>
              <w:bCs/>
              <w:sz w:val="16"/>
              <w:lang w:bidi="th-TH"/>
            </w:rPr>
            <w:t>Doc No.: ECP-A3</w:t>
          </w:r>
          <w:r w:rsidR="00E86726">
            <w:rPr>
              <w:rFonts w:ascii="Arial" w:hAnsi="Arial"/>
              <w:b/>
              <w:bCs/>
              <w:sz w:val="16"/>
              <w:lang w:bidi="th-TH"/>
            </w:rPr>
            <w:t>7</w:t>
          </w:r>
        </w:p>
      </w:tc>
    </w:tr>
    <w:tr w:rsidR="001A5FBA" w14:paraId="0DD30ECB" w14:textId="77777777" w:rsidTr="00F7176B">
      <w:trPr>
        <w:cantSplit/>
        <w:trHeight w:val="352"/>
      </w:trPr>
      <w:tc>
        <w:tcPr>
          <w:tcW w:w="1840" w:type="dxa"/>
          <w:vMerge/>
          <w:tcBorders>
            <w:top w:val="double" w:sz="6" w:space="0" w:color="auto"/>
            <w:left w:val="double" w:sz="6" w:space="0" w:color="auto"/>
            <w:bottom w:val="double" w:sz="6" w:space="0" w:color="auto"/>
            <w:right w:val="nil"/>
          </w:tcBorders>
          <w:vAlign w:val="center"/>
          <w:hideMark/>
        </w:tcPr>
        <w:p w14:paraId="177FAAA1" w14:textId="77777777" w:rsidR="001A5FBA" w:rsidRDefault="001A5FBA" w:rsidP="001A5FBA">
          <w:pPr>
            <w:spacing w:line="256" w:lineRule="auto"/>
            <w:jc w:val="center"/>
            <w:rPr>
              <w:lang w:bidi="th-TH"/>
            </w:rPr>
          </w:pPr>
        </w:p>
      </w:tc>
      <w:tc>
        <w:tcPr>
          <w:tcW w:w="6047" w:type="dxa"/>
          <w:tcBorders>
            <w:top w:val="nil"/>
            <w:left w:val="single" w:sz="6" w:space="0" w:color="auto"/>
            <w:bottom w:val="nil"/>
            <w:right w:val="nil"/>
          </w:tcBorders>
          <w:vAlign w:val="center"/>
          <w:hideMark/>
        </w:tcPr>
        <w:p w14:paraId="17C194FE" w14:textId="77777777" w:rsidR="001A5FBA" w:rsidRDefault="001A5FBA" w:rsidP="001A5FBA">
          <w:pPr>
            <w:pStyle w:val="TableText"/>
            <w:spacing w:line="256" w:lineRule="auto"/>
            <w:jc w:val="center"/>
            <w:rPr>
              <w:rFonts w:ascii="Arial" w:hAnsi="Arial" w:cs="Arial"/>
              <w:b/>
              <w:bCs/>
              <w:sz w:val="28"/>
              <w:szCs w:val="28"/>
              <w:lang w:bidi="th-TH"/>
            </w:rPr>
          </w:pPr>
          <w:r>
            <w:rPr>
              <w:rFonts w:ascii="Arial" w:hAnsi="Arial" w:cs="Arial"/>
              <w:b/>
              <w:bCs/>
              <w:sz w:val="28"/>
              <w:szCs w:val="28"/>
              <w:lang w:bidi="th-TH"/>
            </w:rPr>
            <w:t>ECP - Matrix</w:t>
          </w:r>
        </w:p>
      </w:tc>
      <w:tc>
        <w:tcPr>
          <w:tcW w:w="1831" w:type="dxa"/>
          <w:tcBorders>
            <w:top w:val="nil"/>
            <w:left w:val="single" w:sz="6" w:space="0" w:color="auto"/>
            <w:bottom w:val="single" w:sz="6" w:space="0" w:color="auto"/>
            <w:right w:val="double" w:sz="6" w:space="0" w:color="auto"/>
          </w:tcBorders>
          <w:vAlign w:val="center"/>
          <w:hideMark/>
        </w:tcPr>
        <w:p w14:paraId="787D9815" w14:textId="77777777" w:rsidR="001A5FBA" w:rsidRDefault="001A5FBA" w:rsidP="001A5FBA">
          <w:pPr>
            <w:pStyle w:val="TableText"/>
            <w:spacing w:line="256" w:lineRule="auto"/>
            <w:jc w:val="center"/>
            <w:rPr>
              <w:rFonts w:ascii="Arial" w:hAnsi="Arial"/>
              <w:sz w:val="14"/>
              <w:lang w:bidi="th-TH"/>
            </w:rPr>
          </w:pPr>
          <w:r>
            <w:rPr>
              <w:rFonts w:ascii="Arial" w:hAnsi="Arial"/>
              <w:sz w:val="14"/>
              <w:lang w:bidi="th-TH"/>
            </w:rPr>
            <w:t xml:space="preserve">Revision: </w:t>
          </w:r>
          <w:r w:rsidRPr="00480321">
            <w:rPr>
              <w:rFonts w:ascii="Arial" w:hAnsi="Arial"/>
              <w:color w:val="FF0000"/>
              <w:sz w:val="14"/>
              <w:lang w:bidi="th-TH"/>
            </w:rPr>
            <w:t>01</w:t>
          </w:r>
        </w:p>
        <w:p w14:paraId="0540463C" w14:textId="77777777" w:rsidR="001A5FBA" w:rsidRDefault="001A5FBA" w:rsidP="001A5FBA">
          <w:pPr>
            <w:pStyle w:val="TableText"/>
            <w:spacing w:line="256" w:lineRule="auto"/>
            <w:jc w:val="center"/>
            <w:rPr>
              <w:sz w:val="14"/>
              <w:lang w:eastAsia="ja-JP" w:bidi="th-TH"/>
            </w:rPr>
          </w:pPr>
          <w:r>
            <w:rPr>
              <w:rFonts w:ascii="Arial" w:hAnsi="Arial"/>
              <w:sz w:val="14"/>
              <w:lang w:bidi="th-TH"/>
            </w:rPr>
            <w:t xml:space="preserve">Date: </w:t>
          </w:r>
          <w:r>
            <w:rPr>
              <w:rFonts w:ascii="Arial" w:hAnsi="Arial"/>
              <w:color w:val="FF0000"/>
              <w:sz w:val="14"/>
              <w:lang w:bidi="th-TH"/>
            </w:rPr>
            <w:t>15</w:t>
          </w:r>
          <w:r w:rsidRPr="00480321">
            <w:rPr>
              <w:rFonts w:ascii="Arial" w:hAnsi="Arial"/>
              <w:color w:val="FF0000"/>
              <w:sz w:val="14"/>
              <w:lang w:bidi="th-TH"/>
            </w:rPr>
            <w:t xml:space="preserve"> </w:t>
          </w:r>
          <w:r>
            <w:rPr>
              <w:rFonts w:ascii="Arial" w:hAnsi="Arial"/>
              <w:color w:val="FF0000"/>
              <w:sz w:val="14"/>
              <w:lang w:bidi="th-TH"/>
            </w:rPr>
            <w:t>Oct</w:t>
          </w:r>
          <w:r w:rsidRPr="00480321">
            <w:rPr>
              <w:rFonts w:ascii="Arial" w:hAnsi="Arial"/>
              <w:color w:val="FF0000"/>
              <w:sz w:val="14"/>
              <w:lang w:bidi="th-TH"/>
            </w:rPr>
            <w:t xml:space="preserve"> 202</w:t>
          </w:r>
          <w:r>
            <w:rPr>
              <w:rFonts w:ascii="Arial" w:hAnsi="Arial"/>
              <w:color w:val="FF0000"/>
              <w:sz w:val="14"/>
              <w:lang w:bidi="th-TH"/>
            </w:rPr>
            <w:t>4</w:t>
          </w:r>
        </w:p>
      </w:tc>
    </w:tr>
    <w:tr w:rsidR="001A5FBA" w14:paraId="41F58E32" w14:textId="77777777" w:rsidTr="00F7176B">
      <w:trPr>
        <w:cantSplit/>
        <w:trHeight w:val="352"/>
      </w:trPr>
      <w:tc>
        <w:tcPr>
          <w:tcW w:w="1840" w:type="dxa"/>
          <w:vMerge/>
          <w:tcBorders>
            <w:top w:val="double" w:sz="6" w:space="0" w:color="auto"/>
            <w:left w:val="double" w:sz="6" w:space="0" w:color="auto"/>
            <w:bottom w:val="double" w:sz="6" w:space="0" w:color="auto"/>
            <w:right w:val="nil"/>
          </w:tcBorders>
          <w:vAlign w:val="center"/>
          <w:hideMark/>
        </w:tcPr>
        <w:p w14:paraId="74EB2E8D" w14:textId="77777777" w:rsidR="001A5FBA" w:rsidRDefault="001A5FBA" w:rsidP="001A5FBA">
          <w:pPr>
            <w:spacing w:line="256" w:lineRule="auto"/>
            <w:jc w:val="center"/>
            <w:rPr>
              <w:lang w:bidi="th-TH"/>
            </w:rPr>
          </w:pPr>
        </w:p>
      </w:tc>
      <w:tc>
        <w:tcPr>
          <w:tcW w:w="6047" w:type="dxa"/>
          <w:tcBorders>
            <w:top w:val="nil"/>
            <w:left w:val="single" w:sz="6" w:space="0" w:color="auto"/>
            <w:bottom w:val="nil"/>
            <w:right w:val="nil"/>
          </w:tcBorders>
          <w:vAlign w:val="center"/>
          <w:hideMark/>
        </w:tcPr>
        <w:p w14:paraId="7D65C8E3" w14:textId="0FAE3240" w:rsidR="001A5FBA" w:rsidRPr="007A7334" w:rsidRDefault="00E86726" w:rsidP="001A5FBA">
          <w:pPr>
            <w:pStyle w:val="TableText"/>
            <w:spacing w:line="256" w:lineRule="auto"/>
            <w:jc w:val="center"/>
            <w:rPr>
              <w:rFonts w:ascii="Arial" w:hAnsi="Arial"/>
              <w:b/>
              <w:spacing w:val="-3"/>
              <w:szCs w:val="22"/>
              <w:lang w:val="en-IN"/>
            </w:rPr>
          </w:pPr>
          <w:r>
            <w:rPr>
              <w:rFonts w:ascii="Arial" w:hAnsi="Arial"/>
              <w:b/>
              <w:spacing w:val="-3"/>
              <w:szCs w:val="22"/>
              <w:lang w:val="en-IN"/>
            </w:rPr>
            <w:t>Types of Contingency Plans</w:t>
          </w:r>
        </w:p>
        <w:p w14:paraId="44D89B6F" w14:textId="77777777" w:rsidR="001A5FBA" w:rsidRPr="007A7334" w:rsidRDefault="001A5FBA" w:rsidP="001A5FBA">
          <w:pPr>
            <w:pStyle w:val="TableText"/>
            <w:spacing w:line="256" w:lineRule="auto"/>
            <w:jc w:val="center"/>
            <w:rPr>
              <w:b/>
              <w:bCs/>
              <w:lang w:val="en-IN" w:eastAsia="ja-JP" w:bidi="th-TH"/>
            </w:rPr>
          </w:pPr>
        </w:p>
      </w:tc>
      <w:tc>
        <w:tcPr>
          <w:tcW w:w="1831" w:type="dxa"/>
          <w:tcBorders>
            <w:top w:val="nil"/>
            <w:left w:val="single" w:sz="6" w:space="0" w:color="auto"/>
            <w:bottom w:val="single" w:sz="6" w:space="0" w:color="auto"/>
            <w:right w:val="double" w:sz="6" w:space="0" w:color="auto"/>
          </w:tcBorders>
          <w:vAlign w:val="center"/>
          <w:hideMark/>
        </w:tcPr>
        <w:p w14:paraId="44CFCB9D" w14:textId="77777777" w:rsidR="001A5FBA" w:rsidRDefault="001A5FBA" w:rsidP="001A5FBA">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72C31B27" w14:textId="77777777" w:rsidR="001A5FBA" w:rsidRDefault="001A5FBA" w:rsidP="001A5FBA">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1A5FBA" w14:paraId="23CAD08E" w14:textId="77777777" w:rsidTr="00F7176B">
      <w:trPr>
        <w:cantSplit/>
        <w:trHeight w:val="46"/>
      </w:trPr>
      <w:tc>
        <w:tcPr>
          <w:tcW w:w="1840" w:type="dxa"/>
          <w:vMerge/>
          <w:tcBorders>
            <w:top w:val="double" w:sz="6" w:space="0" w:color="auto"/>
            <w:left w:val="double" w:sz="6" w:space="0" w:color="auto"/>
            <w:bottom w:val="double" w:sz="6" w:space="0" w:color="auto"/>
            <w:right w:val="nil"/>
          </w:tcBorders>
          <w:vAlign w:val="center"/>
          <w:hideMark/>
        </w:tcPr>
        <w:p w14:paraId="045CE4B7" w14:textId="77777777" w:rsidR="001A5FBA" w:rsidRDefault="001A5FBA" w:rsidP="001A5FBA">
          <w:pPr>
            <w:spacing w:line="256" w:lineRule="auto"/>
            <w:jc w:val="center"/>
            <w:rPr>
              <w:lang w:bidi="th-TH"/>
            </w:rPr>
          </w:pPr>
        </w:p>
      </w:tc>
      <w:tc>
        <w:tcPr>
          <w:tcW w:w="6047" w:type="dxa"/>
          <w:tcBorders>
            <w:top w:val="nil"/>
            <w:left w:val="single" w:sz="6" w:space="0" w:color="auto"/>
            <w:bottom w:val="double" w:sz="6" w:space="0" w:color="auto"/>
            <w:right w:val="nil"/>
          </w:tcBorders>
          <w:vAlign w:val="center"/>
        </w:tcPr>
        <w:p w14:paraId="7ABEFE11" w14:textId="77777777" w:rsidR="001A5FBA" w:rsidRPr="005A205D" w:rsidRDefault="001A5FBA" w:rsidP="001A5FBA">
          <w:pPr>
            <w:pStyle w:val="TableText"/>
            <w:spacing w:line="256" w:lineRule="auto"/>
            <w:rPr>
              <w:rFonts w:asciiTheme="minorHAnsi" w:hAnsiTheme="minorHAnsi" w:cstheme="minorHAnsi"/>
              <w:b/>
            </w:rPr>
          </w:pPr>
          <w:r>
            <w:rPr>
              <w:rFonts w:ascii="Arial" w:hAnsi="Arial"/>
              <w:b/>
              <w:color w:val="000000"/>
              <w:spacing w:val="-3"/>
              <w:sz w:val="22"/>
              <w:szCs w:val="22"/>
            </w:rPr>
            <w:t xml:space="preserve">                        </w:t>
          </w:r>
        </w:p>
      </w:tc>
      <w:tc>
        <w:tcPr>
          <w:tcW w:w="1831" w:type="dxa"/>
          <w:tcBorders>
            <w:top w:val="nil"/>
            <w:left w:val="single" w:sz="6" w:space="0" w:color="auto"/>
            <w:bottom w:val="double" w:sz="6" w:space="0" w:color="auto"/>
            <w:right w:val="double" w:sz="6" w:space="0" w:color="auto"/>
          </w:tcBorders>
          <w:vAlign w:val="center"/>
          <w:hideMark/>
        </w:tcPr>
        <w:p w14:paraId="0C25DE38" w14:textId="77777777" w:rsidR="001A5FBA" w:rsidRDefault="001A5FBA" w:rsidP="001A5FBA">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5C4538CB" w14:textId="77777777" w:rsidR="001A5FBA" w:rsidRPr="001A5FBA" w:rsidRDefault="001A5FBA" w:rsidP="001A5F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9CCA4" w14:textId="77777777" w:rsidR="00F7176B" w:rsidRDefault="00F717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C7EF3"/>
    <w:multiLevelType w:val="hybridMultilevel"/>
    <w:tmpl w:val="EF3EA820"/>
    <w:lvl w:ilvl="0" w:tplc="886878C6">
      <w:start w:val="1"/>
      <w:numFmt w:val="decimal"/>
      <w:lvlText w:val="%1"/>
      <w:lvlJc w:val="left"/>
      <w:pPr>
        <w:ind w:left="592" w:hanging="433"/>
        <w:jc w:val="left"/>
      </w:pPr>
      <w:rPr>
        <w:rFonts w:ascii="Tahoma" w:eastAsia="Tahoma" w:hAnsi="Tahoma" w:cs="Tahoma" w:hint="default"/>
        <w:b/>
        <w:bCs/>
        <w:i w:val="0"/>
        <w:iCs w:val="0"/>
        <w:color w:val="FFFFFF"/>
        <w:spacing w:val="0"/>
        <w:w w:val="99"/>
        <w:sz w:val="28"/>
        <w:szCs w:val="28"/>
        <w:shd w:val="clear" w:color="auto" w:fill="2C4079"/>
        <w:lang w:val="en-US" w:eastAsia="en-US" w:bidi="ar-SA"/>
      </w:rPr>
    </w:lvl>
    <w:lvl w:ilvl="1" w:tplc="CA80416A">
      <w:numFmt w:val="bullet"/>
      <w:lvlText w:val=""/>
      <w:lvlJc w:val="left"/>
      <w:pPr>
        <w:ind w:left="952" w:hanging="360"/>
      </w:pPr>
      <w:rPr>
        <w:rFonts w:ascii="Symbol" w:eastAsia="Symbol" w:hAnsi="Symbol" w:cs="Symbol" w:hint="default"/>
        <w:b w:val="0"/>
        <w:bCs w:val="0"/>
        <w:i w:val="0"/>
        <w:iCs w:val="0"/>
        <w:spacing w:val="0"/>
        <w:w w:val="99"/>
        <w:sz w:val="22"/>
        <w:szCs w:val="22"/>
        <w:lang w:val="en-US" w:eastAsia="en-US" w:bidi="ar-SA"/>
      </w:rPr>
    </w:lvl>
    <w:lvl w:ilvl="2" w:tplc="F6AE375A">
      <w:numFmt w:val="bullet"/>
      <w:lvlText w:val="•"/>
      <w:lvlJc w:val="left"/>
      <w:pPr>
        <w:ind w:left="1955" w:hanging="360"/>
      </w:pPr>
      <w:rPr>
        <w:rFonts w:hint="default"/>
        <w:lang w:val="en-US" w:eastAsia="en-US" w:bidi="ar-SA"/>
      </w:rPr>
    </w:lvl>
    <w:lvl w:ilvl="3" w:tplc="FEEC5F26">
      <w:numFmt w:val="bullet"/>
      <w:lvlText w:val="•"/>
      <w:lvlJc w:val="left"/>
      <w:pPr>
        <w:ind w:left="2951" w:hanging="360"/>
      </w:pPr>
      <w:rPr>
        <w:rFonts w:hint="default"/>
        <w:lang w:val="en-US" w:eastAsia="en-US" w:bidi="ar-SA"/>
      </w:rPr>
    </w:lvl>
    <w:lvl w:ilvl="4" w:tplc="AE4C3662">
      <w:numFmt w:val="bullet"/>
      <w:lvlText w:val="•"/>
      <w:lvlJc w:val="left"/>
      <w:pPr>
        <w:ind w:left="3947" w:hanging="360"/>
      </w:pPr>
      <w:rPr>
        <w:rFonts w:hint="default"/>
        <w:lang w:val="en-US" w:eastAsia="en-US" w:bidi="ar-SA"/>
      </w:rPr>
    </w:lvl>
    <w:lvl w:ilvl="5" w:tplc="9FE6C2FA">
      <w:numFmt w:val="bullet"/>
      <w:lvlText w:val="•"/>
      <w:lvlJc w:val="left"/>
      <w:pPr>
        <w:ind w:left="4943" w:hanging="360"/>
      </w:pPr>
      <w:rPr>
        <w:rFonts w:hint="default"/>
        <w:lang w:val="en-US" w:eastAsia="en-US" w:bidi="ar-SA"/>
      </w:rPr>
    </w:lvl>
    <w:lvl w:ilvl="6" w:tplc="6B7E4DC4">
      <w:numFmt w:val="bullet"/>
      <w:lvlText w:val="•"/>
      <w:lvlJc w:val="left"/>
      <w:pPr>
        <w:ind w:left="5939" w:hanging="360"/>
      </w:pPr>
      <w:rPr>
        <w:rFonts w:hint="default"/>
        <w:lang w:val="en-US" w:eastAsia="en-US" w:bidi="ar-SA"/>
      </w:rPr>
    </w:lvl>
    <w:lvl w:ilvl="7" w:tplc="BC1E8270">
      <w:numFmt w:val="bullet"/>
      <w:lvlText w:val="•"/>
      <w:lvlJc w:val="left"/>
      <w:pPr>
        <w:ind w:left="6934" w:hanging="360"/>
      </w:pPr>
      <w:rPr>
        <w:rFonts w:hint="default"/>
        <w:lang w:val="en-US" w:eastAsia="en-US" w:bidi="ar-SA"/>
      </w:rPr>
    </w:lvl>
    <w:lvl w:ilvl="8" w:tplc="95F6629C">
      <w:numFmt w:val="bullet"/>
      <w:lvlText w:val="•"/>
      <w:lvlJc w:val="left"/>
      <w:pPr>
        <w:ind w:left="7930" w:hanging="360"/>
      </w:pPr>
      <w:rPr>
        <w:rFonts w:hint="default"/>
        <w:lang w:val="en-US" w:eastAsia="en-US" w:bidi="ar-SA"/>
      </w:rPr>
    </w:lvl>
  </w:abstractNum>
  <w:num w:numId="1" w16cid:durableId="1211383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03D39"/>
    <w:rsid w:val="00183D40"/>
    <w:rsid w:val="001A5FBA"/>
    <w:rsid w:val="00303D39"/>
    <w:rsid w:val="003C77A1"/>
    <w:rsid w:val="004F1F0A"/>
    <w:rsid w:val="009F22F4"/>
    <w:rsid w:val="00E77488"/>
    <w:rsid w:val="00E86726"/>
    <w:rsid w:val="00F5655A"/>
    <w:rsid w:val="00F7176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EDF9E"/>
  <w15:docId w15:val="{2B5BE96B-E0A2-4F20-B31F-341988DC5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before="225"/>
      <w:ind w:left="592" w:hanging="43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52"/>
    </w:pPr>
  </w:style>
  <w:style w:type="paragraph" w:styleId="ListParagraph">
    <w:name w:val="List Paragraph"/>
    <w:basedOn w:val="Normal"/>
    <w:uiPriority w:val="1"/>
    <w:qFormat/>
    <w:pPr>
      <w:spacing w:before="117"/>
      <w:ind w:left="95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A5FBA"/>
    <w:pPr>
      <w:tabs>
        <w:tab w:val="center" w:pos="4513"/>
        <w:tab w:val="right" w:pos="9026"/>
      </w:tabs>
    </w:pPr>
  </w:style>
  <w:style w:type="character" w:customStyle="1" w:styleId="HeaderChar">
    <w:name w:val="Header Char"/>
    <w:basedOn w:val="DefaultParagraphFont"/>
    <w:link w:val="Header"/>
    <w:uiPriority w:val="99"/>
    <w:rsid w:val="001A5FBA"/>
    <w:rPr>
      <w:rFonts w:ascii="Tahoma" w:eastAsia="Tahoma" w:hAnsi="Tahoma" w:cs="Tahoma"/>
    </w:rPr>
  </w:style>
  <w:style w:type="paragraph" w:styleId="Footer">
    <w:name w:val="footer"/>
    <w:basedOn w:val="Normal"/>
    <w:link w:val="FooterChar"/>
    <w:uiPriority w:val="99"/>
    <w:unhideWhenUsed/>
    <w:rsid w:val="001A5FBA"/>
    <w:pPr>
      <w:tabs>
        <w:tab w:val="center" w:pos="4513"/>
        <w:tab w:val="right" w:pos="9026"/>
      </w:tabs>
    </w:pPr>
  </w:style>
  <w:style w:type="character" w:customStyle="1" w:styleId="FooterChar">
    <w:name w:val="Footer Char"/>
    <w:basedOn w:val="DefaultParagraphFont"/>
    <w:link w:val="Footer"/>
    <w:uiPriority w:val="99"/>
    <w:rsid w:val="001A5FBA"/>
    <w:rPr>
      <w:rFonts w:ascii="Tahoma" w:eastAsia="Tahoma" w:hAnsi="Tahoma" w:cs="Tahoma"/>
    </w:rPr>
  </w:style>
  <w:style w:type="paragraph" w:customStyle="1" w:styleId="TableText">
    <w:name w:val="Table Text"/>
    <w:basedOn w:val="Normal"/>
    <w:rsid w:val="001A5FBA"/>
    <w:pPr>
      <w:widowControl/>
      <w:overflowPunct w:val="0"/>
      <w:adjustRightInd w:val="0"/>
      <w:textAlignment w:val="baseline"/>
    </w:pPr>
    <w:rPr>
      <w:rFonts w:ascii="Times New Roman" w:eastAsia="MS Mincho" w:hAnsi="Times New Roman" w:cs="Times New Roman"/>
      <w:sz w:val="24"/>
      <w:szCs w:val="24"/>
      <w:lang w:val="en-GB"/>
    </w:rPr>
  </w:style>
  <w:style w:type="paragraph" w:customStyle="1" w:styleId="DefaultText">
    <w:name w:val="Default Text"/>
    <w:basedOn w:val="Normal"/>
    <w:rsid w:val="001A5FBA"/>
    <w:pPr>
      <w:widowControl/>
      <w:overflowPunct w:val="0"/>
      <w:adjustRightInd w:val="0"/>
      <w:textAlignment w:val="baseline"/>
    </w:pPr>
    <w:rPr>
      <w:rFonts w:ascii="Times New Roman" w:eastAsia="MS Mincho"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2548</Characters>
  <Application>Microsoft Office Word</Application>
  <DocSecurity>0</DocSecurity>
  <Lines>21</Lines>
  <Paragraphs>5</Paragraphs>
  <ScaleCrop>false</ScaleCrop>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6</cp:revision>
  <dcterms:created xsi:type="dcterms:W3CDTF">2024-12-20T09:32:00Z</dcterms:created>
  <dcterms:modified xsi:type="dcterms:W3CDTF">2024-12-20T11:33:00Z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2024-12-20T00:00:00Z</vt:filetime>
  </property>
  <property fmtid="{D5CDD505-2E9C-101B-9397-08002B2CF9AE}" pid="5" name="Producer">
    <vt:lpwstr>Adobe PDF Services</vt:lpwstr>
  </property>
</Properties>
</file>